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595959"/>
          <w:sz w:val="20"/>
          <w:szCs w:val="20"/>
        </w:rPr>
        <w:t xml:space="preserve">CLEAR RIVER SCHOOL DISTRICT</w:t>
      </w:r>
    </w:p>
    <w:p>
      <w:pPr>
        <w:spacing w:after="200"/>
      </w:pPr>
      <w:r>
        <w:rPr>
          <w:color w:val="595959"/>
          <w:sz w:val="20"/>
          <w:szCs w:val="20"/>
        </w:rPr>
        <w:t xml:space="preserve">Board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Policy Code</w:t>
            </w:r>
          </w:p>
        </w:tc>
        <w:tc>
          <w:tcPr>
            <w:tcW w:type="dxa" w:w="69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GAM</w:t>
            </w:r>
          </w:p>
        </w:tc>
      </w:tr>
      <w:tr>
        <w:tc>
          <w:tcPr>
            <w:tcW w:type="dxa" w:w="240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Classification</w:t>
            </w:r>
          </w:p>
        </w:tc>
        <w:tc>
          <w:tcPr>
            <w:tcW w:type="dxa" w:w="69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Certificated Personnel</w:t>
            </w:r>
          </w:p>
        </w:tc>
      </w:tr>
      <w:tr>
        <w:tc>
          <w:tcPr>
            <w:tcW w:type="dxa" w:w="240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Descriptor Term</w:t>
            </w:r>
          </w:p>
        </w:tc>
        <w:tc>
          <w:tcPr>
            <w:tcW w:type="dxa" w:w="69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LICENSURE REQUIREMENTS</w:t>
            </w:r>
          </w:p>
        </w:tc>
      </w:tr>
      <w:tr>
        <w:tc>
          <w:tcPr>
            <w:tcW w:type="dxa" w:w="240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Adopted</w:t>
            </w:r>
          </w:p>
        </w:tc>
        <w:tc>
          <w:tcPr>
            <w:tcW w:type="dxa" w:w="69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August 14, 2018</w:t>
            </w:r>
          </w:p>
        </w:tc>
      </w:tr>
      <w:tr>
        <w:tc>
          <w:tcPr>
            <w:tcW w:type="dxa" w:w="240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Last Revised</w:t>
            </w:r>
          </w:p>
        </w:tc>
        <w:tc>
          <w:tcPr>
            <w:tcW w:type="dxa" w:w="69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June 10, 2025</w:t>
            </w:r>
          </w:p>
        </w:tc>
      </w:tr>
      <w:tr>
        <w:tc>
          <w:tcPr>
            <w:tcW w:type="dxa" w:w="240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Effective Date</w:t>
            </w:r>
          </w:p>
        </w:tc>
        <w:tc>
          <w:tcPr>
            <w:tcW w:type="dxa" w:w="69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July 1, 2025</w:t>
            </w:r>
          </w:p>
        </w:tc>
      </w:tr>
    </w:tbl>
    <w:p>
      <w:pPr>
        <w:spacing w:after="220" w:before="220"/>
      </w:pPr>
      <w:r>
        <w:t xml:space="preserve">This policy governs licensure requirements for certificated personnel employed by the Clear River School District. The Board delegates administration of this policy to the Superintendent and Human Resources, including verification, tracking, and renewal notification of educator licenses. Licensure standards, license types, and renewal requirements are established by the Oregon Teacher Standards and Practices Commission (TSPC) and are incorporated into this policy by reference.</w:t>
      </w:r>
    </w:p>
    <w:p>
      <w:pPr>
        <w:pStyle w:val="Heading2"/>
      </w:pPr>
      <w:r>
        <w:t xml:space="preserve">I. License Required for Employment</w:t>
      </w:r>
    </w:p>
    <w:p>
      <w:pPr>
        <w:spacing w:after="160"/>
      </w:pPr>
      <w:r>
        <w:t xml:space="preserve">No individual shall be assigned to a certificated position within the District without holding a valid license, registration, or authorization issued by TSPC appropriate to the assignment. It is the responsibility of Human Resources to verify licensure status prior to the start of employment and on an ongoing basis thereafter.</w:t>
      </w:r>
    </w:p>
    <w:p>
      <w:pPr>
        <w:pStyle w:val="Heading2"/>
      </w:pPr>
      <w:r>
        <w:t xml:space="preserve">II. License Types</w:t>
      </w:r>
    </w:p>
    <w:p>
      <w:pPr>
        <w:pStyle w:val="ListParagraph"/>
        <w:numPr>
          <w:ilvl w:val="0"/>
          <w:numId w:val="2"/>
        </w:numPr>
        <w:spacing w:after="80"/>
      </w:pPr>
      <w:r>
        <w:t xml:space="preserve">Preliminary Teaching License — the standard entry-level license issued to an individual who has completed a TSPC-approved educator preparation program. Issued for a three-year term.</w:t>
      </w:r>
    </w:p>
    <w:p>
      <w:pPr>
        <w:pStyle w:val="ListParagraph"/>
        <w:numPr>
          <w:ilvl w:val="0"/>
          <w:numId w:val="2"/>
        </w:numPr>
        <w:spacing w:after="80"/>
      </w:pPr>
      <w:r>
        <w:t xml:space="preserve">Professional Teaching License — the advanced, longer-term license issued to educators who meet TSPC’s additional experience and program requirements beyond the Preliminary license.</w:t>
      </w:r>
    </w:p>
    <w:p>
      <w:pPr>
        <w:pStyle w:val="Heading2"/>
      </w:pPr>
      <w:r>
        <w:t xml:space="preserve">III. Out-of-State Applicants — Reciprocal Teaching License</w:t>
      </w:r>
    </w:p>
    <w:p>
      <w:pPr>
        <w:spacing w:after="160"/>
      </w:pPr>
      <w:r>
        <w:t xml:space="preserve">An individual holding an active, non-provisional teaching license from another NASDTEC member jurisdiction, who has completed an approved educator preparation program, holds a bachelor’s degree or higher from an approved institution, and has not previously held a non-provisional Oregon educator license, may be eligible for a Reciprocal Teaching License. The Reciprocal Teaching License is valid for one (1) year and authorizes full-time and substitute teaching. Prior to expiration of the reciprocal term, the employee must obtain an Oregon Preliminary Teaching License or another non-provisional Oregon license to continue in a certificated assignment.</w:t>
      </w:r>
    </w:p>
    <w:p>
      <w:pPr>
        <w:pStyle w:val="Heading2"/>
      </w:pPr>
      <w:r>
        <w:t xml:space="preserve">IV. Renewal and Professional Development Units</w:t>
      </w:r>
    </w:p>
    <w:p>
      <w:pPr>
        <w:spacing w:after="160"/>
      </w:pPr>
      <w:r>
        <w:t xml:space="preserve">Renewal of a Preliminary or Professional Teaching License requires completion of twenty-five (25) Professional Development Units (PDUs) per year of the licensure term, or seventy-five (75) PDUs across a standard three-year license. TSPC has suspended the requirement to document and submit PDUs for licenses expiring before July 1, 2029; renewal of those licenses requires only a completed eLicensing application and applicable fee. The PDU documentation requirement is reinstated for licenses expiring on or after July 1, 2029. Human Resources shall notify affected certificated staff in advance of any change to this requirement.</w:t>
      </w:r>
    </w:p>
    <w:p>
      <w:pPr>
        <w:pStyle w:val="Heading2"/>
      </w:pPr>
      <w:r>
        <w:t xml:space="preserve">V. Endorsements</w:t>
      </w:r>
    </w:p>
    <w:p>
      <w:pPr>
        <w:spacing w:after="160"/>
      </w:pPr>
      <w:r>
        <w:t xml:space="preserve">An educator seeking authorization to teach in an additional content area or grade band beyond the base license must apply to TSPC for the applicable endorsement. Endorsement requirements, including required coursework, testing, or verified experience, are established by TSPC and vary by endorsement area. The employee is responsible for confirming current requirements directly with TSPC prior to applying.</w:t>
      </w:r>
    </w:p>
    <w:p>
      <w:pPr>
        <w:pStyle w:val="Heading2"/>
      </w:pPr>
      <w:r>
        <w:t xml:space="preserve">VI. District Responsibilities</w:t>
      </w:r>
    </w:p>
    <w:p>
      <w:pPr>
        <w:pStyle w:val="ListParagraph"/>
        <w:numPr>
          <w:ilvl w:val="0"/>
          <w:numId w:val="2"/>
        </w:numPr>
        <w:spacing w:after="80"/>
      </w:pPr>
      <w:r>
        <w:t xml:space="preserve">Human Resources shall maintain a current record of license status, type, and expiration date for all certificated staff.</w:t>
      </w:r>
    </w:p>
    <w:p>
      <w:pPr>
        <w:pStyle w:val="ListParagraph"/>
        <w:numPr>
          <w:ilvl w:val="0"/>
          <w:numId w:val="2"/>
        </w:numPr>
        <w:spacing w:after="80"/>
      </w:pPr>
      <w:r>
        <w:t xml:space="preserve">Human Resources shall notify an employee in writing no later than ninety (90) days prior to license expiration.</w:t>
      </w:r>
    </w:p>
    <w:p>
      <w:pPr>
        <w:pStyle w:val="ListParagraph"/>
        <w:numPr>
          <w:ilvl w:val="0"/>
          <w:numId w:val="2"/>
        </w:numPr>
        <w:spacing w:after="80"/>
      </w:pPr>
      <w:r>
        <w:t xml:space="preserve">An employee is responsible for maintaining an active, valid Oregon educator license as a condition of continued certificated employment.</w:t>
      </w:r>
    </w:p>
    <w:p>
      <w:pPr>
        <w:pStyle w:val="Heading2"/>
      </w:pPr>
      <w:r>
        <w:t xml:space="preserve">VII. Consequences of Lapsed Licensure</w:t>
      </w:r>
    </w:p>
    <w:p>
      <w:pPr>
        <w:spacing w:after="160"/>
      </w:pPr>
      <w:r>
        <w:t xml:space="preserve">An employee whose license lapses, is suspended, or is revoked may not continue to serve in a certificated capacity. The District may place the employee on unpaid leave pending reinstatement of a valid license, or may terminate the employment relationship in accordance with applicable employment agreements and Board policy.</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ABD150" w:sz="6" w:space="4"/>
      </w:pBdr>
      <w:tabs>
        <w:tab w:val="right" w:pos="9026"/>
      </w:tabs>
    </w:pPr>
    <w:r>
      <w:drawing>
        <wp:inline distT="0" distB="0" distL="0" distR="0">
          <wp:extent cx="190500" cy="190500"/>
          <wp:effectExtent t="0" r="0" b="0" l="0"/>
          <wp:docPr id="1" name="CCCG logo" descr="Clear Concepts Consulting Group logo" title="CC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90500" cy="190500"/>
                  </a:xfrm>
                  <a:prstGeom prst="rect">
                    <a:avLst/>
                  </a:prstGeom>
                </pic:spPr>
              </pic:pic>
            </a:graphicData>
          </a:graphic>
        </wp:inline>
      </w:drawing>
    </w:r>
    <w:r>
      <w:rPr>
        <w:b/>
        <w:bCs/>
        <w:color w:val="004F6E"/>
        <w:sz w:val="16"/>
        <w:szCs w:val="16"/>
      </w:rPr>
      <w:t xml:space="preserve">  Clear Concepts Consulting Group  |  OSPA Workshop 2026</w:t>
    </w:r>
    <w:r>
      <w:rPr>
        <w:color w:val="595959"/>
        <w:sz w:val="16"/>
        <w:szCs w:val="16"/>
      </w:rPr>
      <w:t xml:space="preserve">	Sandbox source document — for OSPA workshop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50" w:hanging="260"/>
      </w:pPr>
    </w:lvl>
  </w:abstractNum>
  <w:abstractNum w:abstractNumId="3" w15:restartNumberingAfterBreak="0">
    <w:multiLevelType w:val="hybridMultilevel"/>
    <w:lvl w:ilvl="0" w15:tentative="1">
      <w:start w:val="1"/>
      <w:numFmt w:val="decimal"/>
      <w:lvlText w:val="%1."/>
      <w:lvlJc w:val="left"/>
      <w:pPr>
        <w:ind w:left="45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ABD150" w:sz="8" w:space="4"/>
      </w:pBdr>
      <w:spacing w:after="160" w:before="120"/>
      <w:outlineLvl w:val="0"/>
    </w:pPr>
    <w:rPr>
      <w:rFonts w:ascii="Georgia" w:cs="Georgia" w:eastAsia="Georgia" w:hAnsi="Georgia"/>
      <w:b/>
      <w:bCs/>
      <w:color w:val="004F6E"/>
      <w:sz w:val="34"/>
      <w:szCs w:val="34"/>
    </w:rPr>
  </w:style>
  <w:style w:type="paragraph" w:styleId="Heading2">
    <w:name w:val="Heading 2"/>
    <w:basedOn w:val="Normal"/>
    <w:next w:val="Normal"/>
    <w:qFormat/>
    <w:pPr>
      <w:spacing w:after="120" w:before="220"/>
      <w:outlineLvl w:val="1"/>
    </w:pPr>
    <w:rPr>
      <w:rFonts w:ascii="Georgia" w:cs="Georgia" w:eastAsia="Georgia" w:hAnsi="Georgia"/>
      <w:b/>
      <w:bCs/>
      <w:color w:val="004F6E"/>
      <w:sz w:val="26"/>
      <w:szCs w:val="26"/>
    </w:rPr>
  </w:style>
  <w:style w:type="paragraph" w:styleId="Heading3">
    <w:name w:val="Heading 3"/>
    <w:basedOn w:val="Normal"/>
    <w:next w:val="Normal"/>
    <w:qFormat/>
    <w:pPr>
      <w:spacing w:after="80" w:before="160"/>
      <w:outlineLvl w:val="2"/>
    </w:pPr>
    <w:rPr>
      <w:rFonts w:ascii="Georgia" w:cs="Georgia" w:eastAsia="Georgia" w:hAnsi="Georgia"/>
      <w:b/>
      <w:bCs/>
      <w:color w:val="8AAA3A"/>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5e95ab6d7a6bdd22a532c810ce8627d25d168bcb.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2026-07-02T12:39:14.301Z</dcterms:created>
  <dcterms:modified xsi:type="dcterms:W3CDTF">2026-07-02T12:39:14.302Z</dcterms:modified>
</cp:coreProperties>
</file>

<file path=docProps/custom.xml><?xml version="1.0" encoding="utf-8"?>
<Properties xmlns="http://schemas.openxmlformats.org/officeDocument/2006/custom-properties" xmlns:vt="http://schemas.openxmlformats.org/officeDocument/2006/docPropsVTypes"/>
</file>